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13" w:rsidRDefault="00882D13" w:rsidP="00882D13">
      <w:pPr>
        <w:pBdr>
          <w:top w:val="nil"/>
          <w:left w:val="nil"/>
          <w:bottom w:val="nil"/>
          <w:right w:val="nil"/>
          <w:between w:val="nil"/>
        </w:pBdr>
        <w:spacing w:line="240" w:lineRule="auto"/>
        <w:ind w:left="0" w:right="261" w:hanging="2"/>
        <w:rPr>
          <w:rFonts w:ascii="Times New Roman" w:eastAsia="Times New Roman" w:hAnsi="Times New Roman" w:cs="Times New Roman"/>
          <w:color w:val="000000"/>
        </w:rPr>
      </w:pPr>
      <w:bookmarkStart w:id="0" w:name="_GoBack"/>
      <w:bookmarkEnd w:id="0"/>
    </w:p>
    <w:p w:rsidR="00882D13" w:rsidRPr="00882D13" w:rsidRDefault="00882D13" w:rsidP="00882D13">
      <w:pPr>
        <w:pStyle w:val="Default"/>
        <w:ind w:left="1" w:hanging="3"/>
        <w:jc w:val="center"/>
        <w:rPr>
          <w:rFonts w:ascii="Calibri" w:hAnsi="Calibri" w:cs="Calibri"/>
          <w:b/>
          <w:sz w:val="28"/>
        </w:rPr>
      </w:pPr>
      <w:r w:rsidRPr="00882D13">
        <w:rPr>
          <w:rFonts w:ascii="Calibri" w:hAnsi="Calibri" w:cs="Calibri"/>
          <w:b/>
          <w:sz w:val="28"/>
        </w:rPr>
        <w:t>Tynewater ELC Duty of Candour Annual Report 28</w:t>
      </w:r>
      <w:r w:rsidRPr="00882D13">
        <w:rPr>
          <w:rFonts w:ascii="Calibri" w:hAnsi="Calibri" w:cs="Calibri"/>
          <w:b/>
          <w:sz w:val="28"/>
          <w:vertAlign w:val="superscript"/>
        </w:rPr>
        <w:t>st</w:t>
      </w:r>
      <w:r w:rsidRPr="00882D13">
        <w:rPr>
          <w:rFonts w:ascii="Calibri" w:hAnsi="Calibri" w:cs="Calibri"/>
          <w:b/>
          <w:sz w:val="28"/>
        </w:rPr>
        <w:t xml:space="preserve"> March 2024</w:t>
      </w:r>
    </w:p>
    <w:p w:rsidR="00882D13" w:rsidRPr="00882D13" w:rsidRDefault="00882D13" w:rsidP="00882D13">
      <w:pPr>
        <w:ind w:left="0" w:hanging="2"/>
        <w:rPr>
          <w:rFonts w:ascii="Calibri" w:hAnsi="Calibri" w:cs="Calibri"/>
        </w:rPr>
      </w:pPr>
    </w:p>
    <w:p w:rsidR="00882D13" w:rsidRPr="00882D13" w:rsidRDefault="00882D13" w:rsidP="00882D13">
      <w:pPr>
        <w:pStyle w:val="Default"/>
        <w:ind w:left="5" w:hanging="7"/>
        <w:rPr>
          <w:rFonts w:ascii="Calibri" w:hAnsi="Calibri" w:cs="Calibri"/>
        </w:rPr>
      </w:pPr>
      <w:r w:rsidRPr="00882D13">
        <w:rPr>
          <w:rFonts w:ascii="Calibri" w:hAnsi="Calibri" w:cs="Calibri"/>
        </w:rPr>
        <w:t xml:space="preserve">All health and social care services in Scotland have a duty of candour. This is a legal requirement, which means that when unintended or unexpected events happen that result in death or harm as defined in the Act, the people affected understand what has happened, receive an apology, and that organisations learn how to improve for the future. </w:t>
      </w:r>
    </w:p>
    <w:p w:rsidR="00882D13" w:rsidRPr="00882D13" w:rsidRDefault="00882D13" w:rsidP="00882D13">
      <w:pPr>
        <w:pStyle w:val="Default"/>
        <w:ind w:left="5" w:hanging="7"/>
        <w:rPr>
          <w:rFonts w:ascii="Calibri" w:hAnsi="Calibri" w:cs="Calibri"/>
        </w:rPr>
      </w:pPr>
      <w:r w:rsidRPr="00882D13">
        <w:rPr>
          <w:rFonts w:ascii="Calibri" w:hAnsi="Calibri" w:cs="Calibri"/>
        </w:rPr>
        <w:t>An important part of this duty is that we provide an annual report about how the duty of candour is implemented in our services. This report describes how Tynewater ELC has operated the duty of candour during the time between opening on 1</w:t>
      </w:r>
      <w:r w:rsidRPr="00882D13">
        <w:rPr>
          <w:rFonts w:ascii="Calibri" w:hAnsi="Calibri" w:cs="Calibri"/>
          <w:vertAlign w:val="superscript"/>
        </w:rPr>
        <w:t>st</w:t>
      </w:r>
      <w:r w:rsidRPr="00882D13">
        <w:rPr>
          <w:rFonts w:ascii="Calibri" w:hAnsi="Calibri" w:cs="Calibri"/>
        </w:rPr>
        <w:t xml:space="preserve"> April 2023 and 28th March 2024. </w:t>
      </w:r>
    </w:p>
    <w:p w:rsidR="00882D13" w:rsidRPr="00882D13" w:rsidRDefault="00882D13" w:rsidP="00882D13">
      <w:pPr>
        <w:pStyle w:val="Default"/>
        <w:ind w:left="5" w:hanging="7"/>
        <w:rPr>
          <w:rFonts w:ascii="Calibri" w:hAnsi="Calibri" w:cs="Calibri"/>
        </w:rPr>
      </w:pPr>
    </w:p>
    <w:p w:rsidR="00882D13" w:rsidRPr="00882D13" w:rsidRDefault="00882D13" w:rsidP="00882D13">
      <w:pPr>
        <w:pStyle w:val="Default"/>
        <w:ind w:left="5" w:hanging="7"/>
        <w:rPr>
          <w:rFonts w:ascii="Calibri" w:hAnsi="Calibri" w:cs="Calibri"/>
          <w:u w:val="single"/>
        </w:rPr>
      </w:pPr>
      <w:r w:rsidRPr="00882D13">
        <w:rPr>
          <w:rFonts w:ascii="Calibri" w:hAnsi="Calibri" w:cs="Calibri"/>
          <w:u w:val="single"/>
        </w:rPr>
        <w:t>Tynewater ELC</w:t>
      </w:r>
    </w:p>
    <w:p w:rsidR="00882D13" w:rsidRPr="00882D13" w:rsidRDefault="00882D13" w:rsidP="00882D13">
      <w:pPr>
        <w:pStyle w:val="Default"/>
        <w:ind w:left="5" w:hanging="7"/>
        <w:rPr>
          <w:rFonts w:ascii="Calibri" w:hAnsi="Calibri" w:cs="Calibri"/>
        </w:rPr>
      </w:pPr>
      <w:r w:rsidRPr="00882D13">
        <w:rPr>
          <w:rFonts w:ascii="Calibri" w:hAnsi="Calibri" w:cs="Calibri"/>
        </w:rPr>
        <w:t xml:space="preserve">Tynewater ELC is a Midlothian Council Early Learning and Childcare attached to Tynewater Primary School, in </w:t>
      </w:r>
      <w:proofErr w:type="spellStart"/>
      <w:r w:rsidRPr="00882D13">
        <w:rPr>
          <w:rFonts w:ascii="Calibri" w:hAnsi="Calibri" w:cs="Calibri"/>
        </w:rPr>
        <w:t>Pathhead</w:t>
      </w:r>
      <w:proofErr w:type="spellEnd"/>
      <w:r w:rsidRPr="00882D13">
        <w:rPr>
          <w:rFonts w:ascii="Calibri" w:hAnsi="Calibri" w:cs="Calibri"/>
        </w:rPr>
        <w:t xml:space="preserve">.  We offer fully funded full time ELC places to eligible 3 and 4 year olds over 39 weeks year in line with school term dates.  </w:t>
      </w:r>
    </w:p>
    <w:p w:rsidR="00882D13" w:rsidRPr="00882D13" w:rsidRDefault="00882D13" w:rsidP="00882D13">
      <w:pPr>
        <w:pStyle w:val="Default"/>
        <w:ind w:left="5" w:hanging="7"/>
        <w:rPr>
          <w:rFonts w:ascii="Calibri" w:hAnsi="Calibri" w:cs="Calibri"/>
        </w:rPr>
      </w:pPr>
    </w:p>
    <w:p w:rsidR="00882D13" w:rsidRPr="00882D13" w:rsidRDefault="00882D13" w:rsidP="00882D13">
      <w:pPr>
        <w:pStyle w:val="Default"/>
        <w:ind w:left="5" w:hanging="7"/>
        <w:rPr>
          <w:rFonts w:ascii="Calibri" w:hAnsi="Calibri" w:cs="Calibri"/>
          <w:u w:val="single"/>
        </w:rPr>
      </w:pPr>
      <w:r w:rsidRPr="00882D13">
        <w:rPr>
          <w:rFonts w:ascii="Calibri" w:hAnsi="Calibri" w:cs="Calibri"/>
          <w:bCs/>
          <w:u w:val="single"/>
        </w:rPr>
        <w:t xml:space="preserve">How many incidents happened to which the Duty of Candour applies? </w:t>
      </w:r>
    </w:p>
    <w:p w:rsidR="00882D13" w:rsidRPr="00882D13" w:rsidRDefault="00882D13" w:rsidP="00882D13">
      <w:pPr>
        <w:pStyle w:val="Default"/>
        <w:ind w:left="5" w:hanging="7"/>
        <w:rPr>
          <w:rFonts w:ascii="Calibri" w:hAnsi="Calibri" w:cs="Calibri"/>
        </w:rPr>
      </w:pPr>
      <w:r w:rsidRPr="00882D13">
        <w:rPr>
          <w:rFonts w:ascii="Calibri" w:hAnsi="Calibri" w:cs="Calibri"/>
        </w:rPr>
        <w:t>Between 1</w:t>
      </w:r>
      <w:r w:rsidRPr="00882D13">
        <w:rPr>
          <w:rFonts w:ascii="Calibri" w:hAnsi="Calibri" w:cs="Calibri"/>
          <w:vertAlign w:val="superscript"/>
        </w:rPr>
        <w:t>st</w:t>
      </w:r>
      <w:r w:rsidRPr="00882D13">
        <w:rPr>
          <w:rFonts w:ascii="Calibri" w:hAnsi="Calibri" w:cs="Calibri"/>
        </w:rPr>
        <w:t xml:space="preserve"> April 2023 and 28th March 2024, there were </w:t>
      </w:r>
      <w:r w:rsidRPr="00882D13">
        <w:rPr>
          <w:rFonts w:ascii="Calibri" w:hAnsi="Calibri" w:cs="Calibri"/>
          <w:b/>
        </w:rPr>
        <w:t>zero</w:t>
      </w:r>
      <w:r w:rsidRPr="00882D13">
        <w:rPr>
          <w:rFonts w:ascii="Calibri" w:hAnsi="Calibri" w:cs="Calibri"/>
        </w:rPr>
        <w:t xml:space="preserve"> incidents where the duty of candour applied. These were all unintended or unexpected incidents that resulted in death or harm as defined in the Act.</w:t>
      </w:r>
    </w:p>
    <w:p w:rsidR="00882D13" w:rsidRPr="00882D13" w:rsidRDefault="00882D13" w:rsidP="00882D13">
      <w:pPr>
        <w:pStyle w:val="Default"/>
        <w:ind w:left="5" w:hanging="7"/>
        <w:rPr>
          <w:rFonts w:ascii="Calibri" w:hAnsi="Calibri" w:cs="Calibri"/>
        </w:rPr>
      </w:pPr>
    </w:p>
    <w:p w:rsidR="00882D13" w:rsidRPr="00882D13" w:rsidRDefault="00882D13" w:rsidP="00882D13">
      <w:pPr>
        <w:pStyle w:val="Default"/>
        <w:ind w:left="5" w:hanging="7"/>
        <w:rPr>
          <w:rFonts w:ascii="Calibri" w:hAnsi="Calibri" w:cs="Calibri"/>
        </w:rPr>
      </w:pPr>
      <w:r w:rsidRPr="00882D13">
        <w:rPr>
          <w:rFonts w:ascii="Calibri" w:hAnsi="Calibri" w:cs="Calibri"/>
        </w:rPr>
        <w:t>Between 1</w:t>
      </w:r>
      <w:r w:rsidRPr="00882D13">
        <w:rPr>
          <w:rFonts w:ascii="Calibri" w:hAnsi="Calibri" w:cs="Calibri"/>
          <w:vertAlign w:val="superscript"/>
        </w:rPr>
        <w:t>st</w:t>
      </w:r>
      <w:r w:rsidRPr="00882D13">
        <w:rPr>
          <w:rFonts w:ascii="Calibri" w:hAnsi="Calibri" w:cs="Calibri"/>
        </w:rPr>
        <w:t xml:space="preserve"> April 2023 and 28th March 2024, the team undertook ongoing training which included their responsibilities in respect of Duty of Candour.</w:t>
      </w:r>
    </w:p>
    <w:p w:rsidR="00882D13" w:rsidRPr="00882D13" w:rsidRDefault="00882D13" w:rsidP="00882D13">
      <w:pPr>
        <w:pStyle w:val="Default"/>
        <w:ind w:left="5" w:hanging="7"/>
        <w:rPr>
          <w:rFonts w:ascii="Calibri" w:hAnsi="Calibri" w:cs="Calibri"/>
        </w:rPr>
      </w:pPr>
    </w:p>
    <w:p w:rsidR="00882D13" w:rsidRPr="00882D13" w:rsidRDefault="00882D13" w:rsidP="00882D13">
      <w:pPr>
        <w:pStyle w:val="Default"/>
        <w:ind w:left="5" w:hanging="7"/>
        <w:jc w:val="right"/>
        <w:rPr>
          <w:rFonts w:ascii="Calibri" w:hAnsi="Calibri" w:cs="Calibri"/>
        </w:rPr>
      </w:pPr>
      <w:r w:rsidRPr="00882D13">
        <w:rPr>
          <w:rFonts w:ascii="Calibri" w:hAnsi="Calibri" w:cs="Calibri"/>
        </w:rPr>
        <w:t>Janet Donaldson</w:t>
      </w:r>
    </w:p>
    <w:p w:rsidR="00882D13" w:rsidRPr="00882D13" w:rsidRDefault="00882D13" w:rsidP="00882D13">
      <w:pPr>
        <w:pStyle w:val="Default"/>
        <w:ind w:left="5" w:hanging="7"/>
        <w:jc w:val="right"/>
        <w:rPr>
          <w:rFonts w:ascii="Calibri" w:hAnsi="Calibri" w:cs="Calibri"/>
        </w:rPr>
      </w:pPr>
      <w:r w:rsidRPr="00882D13">
        <w:rPr>
          <w:rFonts w:ascii="Calibri" w:hAnsi="Calibri" w:cs="Calibri"/>
        </w:rPr>
        <w:t>Deputy Head Teacher</w:t>
      </w:r>
    </w:p>
    <w:p w:rsidR="00882D13" w:rsidRPr="00882D13" w:rsidRDefault="00882D13" w:rsidP="00882D13">
      <w:pPr>
        <w:pStyle w:val="Default"/>
        <w:ind w:left="5" w:hanging="7"/>
        <w:jc w:val="right"/>
        <w:rPr>
          <w:rFonts w:ascii="Calibri" w:hAnsi="Calibri" w:cs="Calibri"/>
        </w:rPr>
      </w:pPr>
      <w:r w:rsidRPr="00882D13">
        <w:rPr>
          <w:rFonts w:ascii="Calibri" w:hAnsi="Calibri" w:cs="Calibri"/>
        </w:rPr>
        <w:t>Tynewater Primary School</w:t>
      </w:r>
    </w:p>
    <w:p w:rsidR="00882D13" w:rsidRPr="00882D13" w:rsidRDefault="00882D13" w:rsidP="00882D13">
      <w:pPr>
        <w:pStyle w:val="Default"/>
        <w:ind w:left="5" w:hanging="7"/>
        <w:jc w:val="right"/>
        <w:rPr>
          <w:rFonts w:ascii="Calibri" w:hAnsi="Calibri" w:cs="Calibri"/>
          <w:color w:val="auto"/>
        </w:rPr>
      </w:pPr>
      <w:r w:rsidRPr="00882D13">
        <w:rPr>
          <w:rFonts w:ascii="Calibri" w:hAnsi="Calibri" w:cs="Calibri"/>
        </w:rPr>
        <w:t>28th March 2024</w:t>
      </w:r>
    </w:p>
    <w:p w:rsidR="00B87681" w:rsidRDefault="00E37FC5" w:rsidP="00882D13">
      <w:pPr>
        <w:pBdr>
          <w:top w:val="nil"/>
          <w:left w:val="nil"/>
          <w:bottom w:val="nil"/>
          <w:right w:val="nil"/>
          <w:between w:val="nil"/>
        </w:pBdr>
        <w:spacing w:line="240" w:lineRule="auto"/>
        <w:ind w:left="0" w:right="261" w:hanging="2"/>
        <w:rPr>
          <w:rFonts w:ascii="Arial" w:eastAsia="Arial" w:hAnsi="Arial" w:cs="Arial"/>
          <w:color w:val="000000"/>
        </w:rPr>
      </w:pPr>
      <w:r>
        <w:rPr>
          <w:rFonts w:ascii="Times New Roman" w:eastAsia="Times New Roman" w:hAnsi="Times New Roman" w:cs="Times New Roman"/>
          <w:color w:val="000000"/>
        </w:rPr>
        <w:br/>
      </w:r>
    </w:p>
    <w:p w:rsidR="00B87681" w:rsidRDefault="00E37FC5">
      <w:pPr>
        <w:ind w:left="0" w:hanging="2"/>
        <w:rPr>
          <w:sz w:val="20"/>
          <w:szCs w:val="20"/>
        </w:rPr>
      </w:pPr>
      <w:r>
        <w:rPr>
          <w:rFonts w:ascii="Arial" w:eastAsia="Arial" w:hAnsi="Arial" w:cs="Arial"/>
          <w:b/>
          <w:color w:val="000000"/>
        </w:rPr>
        <w:br/>
      </w:r>
    </w:p>
    <w:sectPr w:rsidR="00B87681" w:rsidSect="00882D13">
      <w:headerReference w:type="even" r:id="rId7"/>
      <w:headerReference w:type="default" r:id="rId8"/>
      <w:footerReference w:type="even" r:id="rId9"/>
      <w:footerReference w:type="default" r:id="rId10"/>
      <w:headerReference w:type="first" r:id="rId11"/>
      <w:footerReference w:type="first" r:id="rId12"/>
      <w:pgSz w:w="11906" w:h="16838"/>
      <w:pgMar w:top="284" w:right="720" w:bottom="284" w:left="720" w:header="33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9C" w:rsidRDefault="00E72F9C">
      <w:pPr>
        <w:spacing w:line="240" w:lineRule="auto"/>
        <w:ind w:left="0" w:hanging="2"/>
      </w:pPr>
      <w:r>
        <w:separator/>
      </w:r>
    </w:p>
  </w:endnote>
  <w:endnote w:type="continuationSeparator" w:id="0">
    <w:p w:rsidR="00E72F9C" w:rsidRDefault="00E72F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13" w:rsidRDefault="00882D1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13" w:rsidRDefault="00882D1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13" w:rsidRDefault="00882D1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9C" w:rsidRDefault="00E72F9C">
      <w:pPr>
        <w:spacing w:line="240" w:lineRule="auto"/>
        <w:ind w:left="0" w:hanging="2"/>
      </w:pPr>
      <w:r>
        <w:separator/>
      </w:r>
    </w:p>
  </w:footnote>
  <w:footnote w:type="continuationSeparator" w:id="0">
    <w:p w:rsidR="00E72F9C" w:rsidRDefault="00E72F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13" w:rsidRDefault="00882D1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81" w:rsidRDefault="00B87681">
    <w:pPr>
      <w:widowControl w:val="0"/>
      <w:pBdr>
        <w:top w:val="nil"/>
        <w:left w:val="nil"/>
        <w:bottom w:val="nil"/>
        <w:right w:val="nil"/>
        <w:between w:val="nil"/>
      </w:pBdr>
      <w:spacing w:line="276" w:lineRule="auto"/>
      <w:ind w:left="0" w:hanging="2"/>
      <w:rPr>
        <w:sz w:val="20"/>
        <w:szCs w:val="20"/>
      </w:rPr>
    </w:pPr>
  </w:p>
  <w:tbl>
    <w:tblPr>
      <w:tblStyle w:val="a"/>
      <w:tblW w:w="10682" w:type="dxa"/>
      <w:tblInd w:w="-108" w:type="dxa"/>
      <w:tblLayout w:type="fixed"/>
      <w:tblLook w:val="0000" w:firstRow="0" w:lastRow="0" w:firstColumn="0" w:lastColumn="0" w:noHBand="0" w:noVBand="0"/>
    </w:tblPr>
    <w:tblGrid>
      <w:gridCol w:w="3652"/>
      <w:gridCol w:w="3469"/>
      <w:gridCol w:w="3561"/>
    </w:tblGrid>
    <w:tr w:rsidR="00B87681" w:rsidTr="00882D13">
      <w:tc>
        <w:tcPr>
          <w:tcW w:w="3652" w:type="dxa"/>
        </w:tcPr>
        <w:p w:rsidR="00B87681" w:rsidRDefault="00E37FC5">
          <w:pPr>
            <w:pStyle w:val="Heading1"/>
            <w:ind w:left="0" w:hanging="2"/>
            <w:rPr>
              <w:rFonts w:ascii="Calibri" w:eastAsia="Calibri" w:hAnsi="Calibri" w:cs="Calibri"/>
              <w:color w:val="000000"/>
              <w:sz w:val="20"/>
              <w:szCs w:val="20"/>
            </w:rPr>
          </w:pPr>
          <w:r>
            <w:rPr>
              <w:rFonts w:ascii="Calibri" w:eastAsia="Calibri" w:hAnsi="Calibri" w:cs="Calibri"/>
              <w:b/>
              <w:color w:val="000000"/>
              <w:sz w:val="20"/>
              <w:szCs w:val="20"/>
            </w:rPr>
            <w:t>Tynewater Primary School</w:t>
          </w:r>
        </w:p>
        <w:p w:rsidR="00B87681" w:rsidRDefault="00E37FC5">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32 Crichton Road</w:t>
          </w:r>
        </w:p>
        <w:p w:rsidR="00B87681" w:rsidRDefault="00E37FC5">
          <w:pPr>
            <w:pBdr>
              <w:top w:val="nil"/>
              <w:left w:val="nil"/>
              <w:bottom w:val="nil"/>
              <w:right w:val="nil"/>
              <w:between w:val="nil"/>
            </w:pBdr>
            <w:spacing w:line="240" w:lineRule="auto"/>
            <w:ind w:left="0" w:hanging="2"/>
            <w:rPr>
              <w:rFonts w:ascii="Calibri" w:eastAsia="Calibri" w:hAnsi="Calibri" w:cs="Calibri"/>
              <w:color w:val="000000"/>
              <w:sz w:val="20"/>
              <w:szCs w:val="20"/>
            </w:rPr>
          </w:pPr>
          <w:proofErr w:type="spellStart"/>
          <w:r>
            <w:rPr>
              <w:rFonts w:ascii="Calibri" w:eastAsia="Calibri" w:hAnsi="Calibri" w:cs="Calibri"/>
              <w:color w:val="000000"/>
              <w:sz w:val="20"/>
              <w:szCs w:val="20"/>
            </w:rPr>
            <w:t>Pathhead</w:t>
          </w:r>
          <w:proofErr w:type="spellEnd"/>
        </w:p>
        <w:p w:rsidR="00B87681" w:rsidRDefault="00E37FC5">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Midlothian</w:t>
          </w:r>
        </w:p>
        <w:p w:rsidR="00B87681" w:rsidRDefault="00E37FC5">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EH37 5RA</w:t>
          </w:r>
        </w:p>
        <w:p w:rsidR="00B87681" w:rsidRDefault="00B87681">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B87681" w:rsidRDefault="00E37FC5">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Main Office:</w:t>
          </w:r>
        </w:p>
        <w:p w:rsidR="00B87681" w:rsidRDefault="00E37FC5">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0131 271 4710</w:t>
          </w:r>
        </w:p>
        <w:p w:rsidR="00B87681" w:rsidRDefault="00E37FC5">
          <w:pPr>
            <w:pStyle w:val="Heading1"/>
            <w:ind w:left="0" w:hanging="2"/>
            <w:rPr>
              <w:rFonts w:ascii="Calibri" w:eastAsia="Calibri" w:hAnsi="Calibri" w:cs="Calibri"/>
              <w:sz w:val="20"/>
              <w:szCs w:val="20"/>
            </w:rPr>
          </w:pPr>
          <w:r>
            <w:rPr>
              <w:rFonts w:ascii="Calibri" w:eastAsia="Calibri" w:hAnsi="Calibri" w:cs="Calibri"/>
              <w:color w:val="000000"/>
              <w:sz w:val="20"/>
              <w:szCs w:val="20"/>
            </w:rPr>
            <w:t xml:space="preserve">Email:   tynewater.ps@midlothian.gov.uk </w:t>
          </w:r>
        </w:p>
        <w:p w:rsidR="00B87681" w:rsidRDefault="00B87681">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sz w:val="20"/>
              <w:szCs w:val="20"/>
            </w:rPr>
          </w:pPr>
        </w:p>
      </w:tc>
      <w:tc>
        <w:tcPr>
          <w:tcW w:w="3469" w:type="dxa"/>
        </w:tcPr>
        <w:p w:rsidR="00B87681" w:rsidRDefault="00E37FC5">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Education Division</w:t>
          </w:r>
        </w:p>
        <w:p w:rsidR="00B87681" w:rsidRDefault="00E37FC5">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Head Teacher</w:t>
          </w:r>
        </w:p>
        <w:p w:rsidR="00B87681" w:rsidRDefault="00E37FC5">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Louise Ferguson</w:t>
          </w:r>
        </w:p>
        <w:p w:rsidR="00B87681" w:rsidRDefault="00B87681">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p>
        <w:p w:rsidR="00B87681" w:rsidRDefault="00E37FC5">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noProof/>
              <w:color w:val="000000"/>
              <w:lang w:eastAsia="en-GB"/>
            </w:rPr>
            <w:drawing>
              <wp:inline distT="0" distB="0" distL="114300" distR="114300">
                <wp:extent cx="952500" cy="932180"/>
                <wp:effectExtent l="0" t="0" r="0" b="0"/>
                <wp:docPr id="1" name="image1.png" descr="https://lh4.googleusercontent.com/6XGUTjfsm-bmE9ARHbN44IG4uYaD5z8poQn1A6xGcoJ84m81eH6JbqplIZPW7187uJK55MKqPsSrpZ-chGv70pGrfgHtSshjGYSn019Tm5twL7DDWsXm6FfMnO7S365IxIV4Bzh7mNb0fV7DKGqqK5gN1_EMjnPRXoKbkxIOBi6Jkhsi0Zz9mpUfknUAio3KUTa9d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6XGUTjfsm-bmE9ARHbN44IG4uYaD5z8poQn1A6xGcoJ84m81eH6JbqplIZPW7187uJK55MKqPsSrpZ-chGv70pGrfgHtSshjGYSn019Tm5twL7DDWsXm6FfMnO7S365IxIV4Bzh7mNb0fV7DKGqqK5gN1_EMjnPRXoKbkxIOBi6Jkhsi0Zz9mpUfknUAio3KUTa9dA"/>
                        <pic:cNvPicPr preferRelativeResize="0"/>
                      </pic:nvPicPr>
                      <pic:blipFill>
                        <a:blip r:embed="rId1"/>
                        <a:srcRect/>
                        <a:stretch>
                          <a:fillRect/>
                        </a:stretch>
                      </pic:blipFill>
                      <pic:spPr>
                        <a:xfrm>
                          <a:off x="0" y="0"/>
                          <a:ext cx="952500" cy="932180"/>
                        </a:xfrm>
                        <a:prstGeom prst="rect">
                          <a:avLst/>
                        </a:prstGeom>
                        <a:ln/>
                      </pic:spPr>
                    </pic:pic>
                  </a:graphicData>
                </a:graphic>
              </wp:inline>
            </w:drawing>
          </w:r>
        </w:p>
      </w:tc>
      <w:tc>
        <w:tcPr>
          <w:tcW w:w="3561" w:type="dxa"/>
        </w:tcPr>
        <w:p w:rsidR="00B87681" w:rsidRDefault="00E37FC5">
          <w:pPr>
            <w:pBdr>
              <w:top w:val="nil"/>
              <w:left w:val="nil"/>
              <w:bottom w:val="nil"/>
              <w:right w:val="nil"/>
              <w:between w:val="nil"/>
            </w:pBdr>
            <w:tabs>
              <w:tab w:val="center" w:pos="4153"/>
              <w:tab w:val="right" w:pos="8306"/>
            </w:tabs>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Midlothian Council</w:t>
          </w:r>
        </w:p>
        <w:p w:rsidR="00B87681" w:rsidRDefault="00E37FC5">
          <w:pPr>
            <w:pBdr>
              <w:top w:val="nil"/>
              <w:left w:val="nil"/>
              <w:bottom w:val="nil"/>
              <w:right w:val="nil"/>
              <w:between w:val="nil"/>
            </w:pBdr>
            <w:tabs>
              <w:tab w:val="center" w:pos="4153"/>
              <w:tab w:val="right" w:pos="8306"/>
            </w:tabs>
            <w:spacing w:line="240" w:lineRule="auto"/>
            <w:ind w:left="0" w:hanging="2"/>
            <w:jc w:val="right"/>
            <w:rPr>
              <w:rFonts w:ascii="Century Gothic" w:eastAsia="Century Gothic" w:hAnsi="Century Gothic" w:cs="Century Gothic"/>
              <w:color w:val="000000"/>
              <w:sz w:val="20"/>
              <w:szCs w:val="20"/>
            </w:rPr>
          </w:pPr>
          <w:r>
            <w:rPr>
              <w:noProof/>
              <w:color w:val="000000"/>
              <w:lang w:eastAsia="en-GB"/>
            </w:rPr>
            <w:drawing>
              <wp:inline distT="0" distB="0" distL="114300" distR="114300">
                <wp:extent cx="952500" cy="8115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2500" cy="811530"/>
                        </a:xfrm>
                        <a:prstGeom prst="rect">
                          <a:avLst/>
                        </a:prstGeom>
                        <a:ln/>
                      </pic:spPr>
                    </pic:pic>
                  </a:graphicData>
                </a:graphic>
              </wp:inline>
            </w:drawing>
          </w:r>
        </w:p>
      </w:tc>
    </w:tr>
  </w:tbl>
  <w:p w:rsidR="00B87681" w:rsidRDefault="00B87681">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13" w:rsidRDefault="00882D1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81"/>
    <w:rsid w:val="00361F4B"/>
    <w:rsid w:val="00385165"/>
    <w:rsid w:val="006862E4"/>
    <w:rsid w:val="00882D13"/>
    <w:rsid w:val="00B87681"/>
    <w:rsid w:val="00E37FC5"/>
    <w:rsid w:val="00E7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0131"/>
  <w15:docId w15:val="{820BEED0-8ED0-4649-91FB-C2EEA8BE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ind w:left="360"/>
    </w:pPr>
    <w:rPr>
      <w:sz w:val="28"/>
    </w:rPr>
  </w:style>
  <w:style w:type="paragraph" w:styleId="Heading2">
    <w:name w:val="heading 2"/>
    <w:basedOn w:val="Normal"/>
    <w:next w:val="Normal"/>
    <w:pPr>
      <w:keepNext/>
      <w:outlineLvl w:val="1"/>
    </w:pPr>
    <w:rPr>
      <w:b/>
      <w:bCs/>
      <w:sz w:val="28"/>
    </w:rPr>
  </w:style>
  <w:style w:type="paragraph" w:styleId="Heading3">
    <w:name w:val="heading 3"/>
    <w:basedOn w:val="Normal"/>
    <w:next w:val="Normal"/>
    <w:pPr>
      <w:keepNext/>
      <w:outlineLvl w:val="2"/>
    </w:pPr>
    <w:rPr>
      <w:rFonts w:ascii="Arial" w:hAnsi="Arial" w:cs="Arial"/>
      <w:b/>
      <w:bCs/>
    </w:rPr>
  </w:style>
  <w:style w:type="paragraph" w:styleId="Heading4">
    <w:name w:val="heading 4"/>
    <w:basedOn w:val="Normal"/>
    <w:next w:val="Normal"/>
    <w:pPr>
      <w:keepNext/>
      <w:outlineLvl w:val="3"/>
    </w:pPr>
    <w:rPr>
      <w:rFonts w:ascii="Arial" w:hAnsi="Arial" w:cs="Arial"/>
      <w:sz w:val="28"/>
    </w:rPr>
  </w:style>
  <w:style w:type="paragraph" w:styleId="Heading5">
    <w:name w:val="heading 5"/>
    <w:basedOn w:val="Normal"/>
    <w:next w:val="Normal"/>
    <w:pPr>
      <w:keepNext/>
      <w:outlineLvl w:val="4"/>
    </w:pPr>
    <w:rPr>
      <w:sz w:val="40"/>
    </w:rPr>
  </w:style>
  <w:style w:type="paragraph" w:styleId="Heading6">
    <w:name w:val="heading 6"/>
    <w:basedOn w:val="Normal"/>
    <w:next w:val="Normal"/>
    <w:pPr>
      <w:keepNext/>
      <w:outlineLvl w:val="5"/>
    </w:pPr>
    <w:rPr>
      <w:b/>
      <w:bCs/>
      <w:sz w:val="32"/>
    </w:rPr>
  </w:style>
  <w:style w:type="paragraph" w:styleId="Heading7">
    <w:name w:val="heading 7"/>
    <w:basedOn w:val="Normal"/>
    <w:next w:val="Normal"/>
    <w:pPr>
      <w:keepNext/>
      <w:jc w:val="center"/>
      <w:outlineLvl w:val="6"/>
    </w:pPr>
    <w:rPr>
      <w:i/>
      <w:iCs/>
      <w:sz w:val="28"/>
    </w:rPr>
  </w:style>
  <w:style w:type="paragraph" w:styleId="Heading8">
    <w:name w:val="heading 8"/>
    <w:basedOn w:val="Normal"/>
    <w:next w:val="Normal"/>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jc w:val="both"/>
    </w:pPr>
  </w:style>
  <w:style w:type="paragraph" w:styleId="BodyText3">
    <w:name w:val="Body Text 3"/>
    <w:basedOn w:val="Normal"/>
    <w:rPr>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rFonts w:ascii="Comic Sans MS" w:hAnsi="Comic Sans MS"/>
      <w:w w:val="100"/>
      <w:position w:val="-1"/>
      <w:sz w:val="24"/>
      <w:szCs w:val="24"/>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Hyperlink">
    <w:name w:val="Hyperlink"/>
    <w:rPr>
      <w:color w:val="0563C1"/>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lang w:eastAsia="en-GB"/>
    </w:rPr>
  </w:style>
  <w:style w:type="character" w:customStyle="1" w:styleId="FooterChar">
    <w:name w:val="Footer Char"/>
    <w:rPr>
      <w:rFonts w:ascii="Comic Sans MS" w:hAnsi="Comic Sans MS"/>
      <w:w w:val="100"/>
      <w:position w:val="-1"/>
      <w:sz w:val="24"/>
      <w:szCs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882D13"/>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LMw8bFS3eWJ/TNS6tsEFC21HKA==">CgMxLjA4AHIhMUc4MG9MQ0ZTSUowV3dBMXp5TzVfZ29Ud2tXMEd0QVRS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edu05819</dc:creator>
  <cp:lastModifiedBy>Janet Donaldson (MGFL)</cp:lastModifiedBy>
  <cp:revision>2</cp:revision>
  <dcterms:created xsi:type="dcterms:W3CDTF">2024-03-28T11:51:00Z</dcterms:created>
  <dcterms:modified xsi:type="dcterms:W3CDTF">2024-03-28T11:51:00Z</dcterms:modified>
</cp:coreProperties>
</file>